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60411AD" w:rsidR="00746C07" w:rsidRPr="00746C07" w:rsidRDefault="004654D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Fueling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7B92A6F0" w:rsidR="00746C07" w:rsidRDefault="00AE7F5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6D4CFB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for safe</w:t>
      </w:r>
      <w:r w:rsidR="004654D1" w:rsidRPr="004654D1">
        <w:rPr>
          <w:rFonts w:ascii="Arial" w:hAnsi="Arial" w:cs="Arial"/>
        </w:rPr>
        <w:t xml:space="preserve"> fueling </w:t>
      </w:r>
      <w:r>
        <w:rPr>
          <w:rFonts w:ascii="Arial" w:hAnsi="Arial" w:cs="Arial"/>
        </w:rPr>
        <w:t>of A</w:t>
      </w:r>
      <w:r w:rsidR="004654D1" w:rsidRPr="004654D1">
        <w:rPr>
          <w:rFonts w:ascii="Arial" w:hAnsi="Arial" w:cs="Arial"/>
        </w:rPr>
        <w:t>gency vehicle</w:t>
      </w:r>
      <w:r>
        <w:rPr>
          <w:rFonts w:ascii="Arial" w:hAnsi="Arial" w:cs="Arial"/>
        </w:rPr>
        <w:t>s</w:t>
      </w:r>
      <w:r w:rsidR="004654D1" w:rsidRPr="004654D1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49489C9F" w:rsidR="002E306B" w:rsidRDefault="00AE7F5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written guidelines for employees to follow when fueling Agency vehicles. </w:t>
      </w:r>
      <w:r w:rsidR="00CE13B5" w:rsidRPr="00CE13B5">
        <w:rPr>
          <w:rFonts w:ascii="Arial" w:hAnsi="Arial" w:cs="Arial"/>
        </w:rPr>
        <w:t xml:space="preserve">Drivers are responsible for monitoring the fuel level in their </w:t>
      </w:r>
      <w:r w:rsidR="00EF57AD">
        <w:rPr>
          <w:rFonts w:ascii="Arial" w:hAnsi="Arial" w:cs="Arial"/>
        </w:rPr>
        <w:t xml:space="preserve">assigned </w:t>
      </w:r>
      <w:r w:rsidR="00CE13B5" w:rsidRPr="00CE13B5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and </w:t>
      </w:r>
      <w:r w:rsidR="00EF57AD">
        <w:rPr>
          <w:rFonts w:ascii="Arial" w:hAnsi="Arial" w:cs="Arial"/>
        </w:rPr>
        <w:t>for ensuring</w:t>
      </w:r>
      <w:r>
        <w:rPr>
          <w:rFonts w:ascii="Arial" w:hAnsi="Arial" w:cs="Arial"/>
        </w:rPr>
        <w:t xml:space="preserve"> that </w:t>
      </w:r>
      <w:r w:rsidR="00EF57AD">
        <w:rPr>
          <w:rFonts w:ascii="Arial" w:hAnsi="Arial" w:cs="Arial"/>
        </w:rPr>
        <w:t>the</w:t>
      </w:r>
      <w:r w:rsidR="005D6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vehicle has </w:t>
      </w:r>
      <w:r w:rsidR="00EF57AD">
        <w:rPr>
          <w:rFonts w:ascii="Arial" w:hAnsi="Arial" w:cs="Arial"/>
        </w:rPr>
        <w:t xml:space="preserve">at least </w:t>
      </w:r>
      <w:r w:rsidR="00CE13B5" w:rsidRPr="00CE13B5">
        <w:rPr>
          <w:rFonts w:ascii="Arial" w:hAnsi="Arial" w:cs="Arial"/>
        </w:rPr>
        <w:t xml:space="preserve">¾ of a tank of fuel at the end of each day. </w:t>
      </w:r>
      <w:r>
        <w:rPr>
          <w:rFonts w:ascii="Arial" w:hAnsi="Arial" w:cs="Arial"/>
        </w:rPr>
        <w:t xml:space="preserve">If a </w:t>
      </w:r>
      <w:r w:rsidR="0036287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is assigned a </w:t>
      </w:r>
      <w:r w:rsidR="00CE13B5" w:rsidRPr="00CE13B5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>that has less than</w:t>
      </w:r>
      <w:r w:rsidR="00CE13B5" w:rsidRPr="00CE13B5">
        <w:rPr>
          <w:rFonts w:ascii="Arial" w:hAnsi="Arial" w:cs="Arial"/>
        </w:rPr>
        <w:t xml:space="preserve"> ¾ </w:t>
      </w:r>
      <w:r>
        <w:rPr>
          <w:rFonts w:ascii="Arial" w:hAnsi="Arial" w:cs="Arial"/>
        </w:rPr>
        <w:t>of a tank of fuel</w:t>
      </w:r>
      <w:r w:rsidR="00CE13B5" w:rsidRPr="00CE13B5">
        <w:rPr>
          <w:rFonts w:ascii="Arial" w:hAnsi="Arial" w:cs="Arial"/>
        </w:rPr>
        <w:t xml:space="preserve"> at the start of </w:t>
      </w:r>
      <w:r w:rsidR="00EF57AD">
        <w:rPr>
          <w:rFonts w:ascii="Arial" w:hAnsi="Arial" w:cs="Arial"/>
        </w:rPr>
        <w:t>a</w:t>
      </w:r>
      <w:r w:rsidR="00CE13B5" w:rsidRPr="00CE13B5">
        <w:rPr>
          <w:rFonts w:ascii="Arial" w:hAnsi="Arial" w:cs="Arial"/>
        </w:rPr>
        <w:t xml:space="preserve"> shift, the Driver must inform the Dispatcher that the vehicle </w:t>
      </w:r>
      <w:r>
        <w:rPr>
          <w:rFonts w:ascii="Arial" w:hAnsi="Arial" w:cs="Arial"/>
        </w:rPr>
        <w:t>will be out of service until fuel is added.</w:t>
      </w:r>
    </w:p>
    <w:p w14:paraId="510DA1B9" w14:textId="6F06C59E" w:rsidR="00CE13B5" w:rsidRDefault="00AE7F5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Employees shall follow these </w:t>
      </w:r>
      <w:r w:rsidR="00CE13B5">
        <w:rPr>
          <w:rFonts w:ascii="Arial" w:hAnsi="Arial" w:cs="Arial"/>
        </w:rPr>
        <w:t xml:space="preserve">safety procedures </w:t>
      </w:r>
      <w:r>
        <w:rPr>
          <w:rFonts w:ascii="Arial" w:hAnsi="Arial" w:cs="Arial"/>
        </w:rPr>
        <w:t>when</w:t>
      </w:r>
      <w:r w:rsidR="00CE13B5">
        <w:rPr>
          <w:rFonts w:ascii="Arial" w:hAnsi="Arial" w:cs="Arial"/>
        </w:rPr>
        <w:t xml:space="preserve"> fueling </w:t>
      </w:r>
      <w:r>
        <w:rPr>
          <w:rFonts w:ascii="Arial" w:hAnsi="Arial" w:cs="Arial"/>
        </w:rPr>
        <w:t xml:space="preserve">a </w:t>
      </w:r>
      <w:r w:rsidR="00CE13B5">
        <w:rPr>
          <w:rFonts w:ascii="Arial" w:hAnsi="Arial" w:cs="Arial"/>
        </w:rPr>
        <w:t>vehicle:</w:t>
      </w:r>
    </w:p>
    <w:p w14:paraId="4D85A01F" w14:textId="5490148D" w:rsidR="00AE7F58" w:rsidRDefault="00AE7F58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no passengers are onboard.</w:t>
      </w:r>
    </w:p>
    <w:p w14:paraId="017DEC98" w14:textId="6091EEBF" w:rsidR="00CE13B5" w:rsidRDefault="00CE13B5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the </w:t>
      </w:r>
      <w:r w:rsidR="00AE7F58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in park.</w:t>
      </w:r>
    </w:p>
    <w:p w14:paraId="07E5712D" w14:textId="6A777BD2" w:rsidR="00CE13B5" w:rsidRDefault="00CE13B5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Shut off the engine.</w:t>
      </w:r>
    </w:p>
    <w:p w14:paraId="5E391C33" w14:textId="46432941" w:rsidR="00AE7F58" w:rsidRDefault="00AE7F58" w:rsidP="00AE7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F58">
        <w:rPr>
          <w:rFonts w:ascii="Arial" w:hAnsi="Arial" w:cs="Arial"/>
        </w:rPr>
        <w:t>Set the parking brake.</w:t>
      </w:r>
    </w:p>
    <w:p w14:paraId="4777BDAC" w14:textId="61091631" w:rsidR="00AE7F58" w:rsidRDefault="00AE7F58" w:rsidP="00AE7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Verify whether the vehicle requires </w:t>
      </w:r>
      <w:r w:rsidRPr="00AE7F58">
        <w:rPr>
          <w:rFonts w:ascii="Arial" w:hAnsi="Arial" w:cs="Arial"/>
        </w:rPr>
        <w:t>gasoline or diesel</w:t>
      </w:r>
      <w:r>
        <w:rPr>
          <w:rFonts w:ascii="Arial" w:hAnsi="Arial" w:cs="Arial"/>
        </w:rPr>
        <w:t xml:space="preserve"> fuel and use the </w:t>
      </w:r>
      <w:r w:rsidRPr="00AE7F58">
        <w:rPr>
          <w:rFonts w:ascii="Arial" w:hAnsi="Arial" w:cs="Arial"/>
        </w:rPr>
        <w:t xml:space="preserve">correct type of fuel. </w:t>
      </w:r>
    </w:p>
    <w:p w14:paraId="34A55089" w14:textId="679306F4" w:rsidR="00491A97" w:rsidRPr="00AE7F58" w:rsidRDefault="00491A97" w:rsidP="00AE7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 fuel using the assigned </w:t>
      </w:r>
      <w:r w:rsidR="00402380">
        <w:rPr>
          <w:rFonts w:ascii="Arial" w:hAnsi="Arial" w:cs="Arial"/>
        </w:rPr>
        <w:t>Agency</w:t>
      </w:r>
      <w:r w:rsidR="00FA6BAB">
        <w:rPr>
          <w:rFonts w:ascii="Arial" w:hAnsi="Arial" w:cs="Arial"/>
        </w:rPr>
        <w:t xml:space="preserve"> fuel </w:t>
      </w:r>
      <w:r>
        <w:rPr>
          <w:rFonts w:ascii="Arial" w:hAnsi="Arial" w:cs="Arial"/>
        </w:rPr>
        <w:t>card.</w:t>
      </w:r>
    </w:p>
    <w:p w14:paraId="073CEED9" w14:textId="54431F95" w:rsidR="00CE13B5" w:rsidRDefault="00AE7F58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not leave </w:t>
      </w:r>
      <w:r w:rsidR="0040238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</w:t>
      </w:r>
      <w:r w:rsidR="00CE13B5">
        <w:rPr>
          <w:rFonts w:ascii="Arial" w:hAnsi="Arial" w:cs="Arial"/>
        </w:rPr>
        <w:t xml:space="preserve">ehicle unattended </w:t>
      </w:r>
      <w:r>
        <w:rPr>
          <w:rFonts w:ascii="Arial" w:hAnsi="Arial" w:cs="Arial"/>
        </w:rPr>
        <w:t>at the fuel pump</w:t>
      </w:r>
      <w:r w:rsidR="00CE13B5">
        <w:rPr>
          <w:rFonts w:ascii="Arial" w:hAnsi="Arial" w:cs="Arial"/>
        </w:rPr>
        <w:t>.</w:t>
      </w:r>
    </w:p>
    <w:p w14:paraId="16528EDB" w14:textId="607A08F0" w:rsidR="00CE13B5" w:rsidRDefault="00AE7F58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not use </w:t>
      </w:r>
      <w:r w:rsidR="00CE13B5">
        <w:rPr>
          <w:rFonts w:ascii="Arial" w:hAnsi="Arial" w:cs="Arial"/>
        </w:rPr>
        <w:t>the two-way radio while fueling.</w:t>
      </w:r>
    </w:p>
    <w:p w14:paraId="44B5D38D" w14:textId="5704D42B" w:rsidR="00491A97" w:rsidRDefault="00491A97" w:rsidP="00CE13B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Obtain a receipt showing the date, total gallons purchased, and total cost.</w:t>
      </w:r>
    </w:p>
    <w:p w14:paraId="25B0A98C" w14:textId="5005D2CE" w:rsidR="00CE13B5" w:rsidRDefault="00D72AB0" w:rsidP="00CE13B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402380">
        <w:rPr>
          <w:rFonts w:ascii="Arial" w:hAnsi="Arial" w:cs="Arial"/>
        </w:rPr>
        <w:t>each fuel purchase</w:t>
      </w:r>
      <w:r>
        <w:rPr>
          <w:rFonts w:ascii="Arial" w:hAnsi="Arial" w:cs="Arial"/>
        </w:rPr>
        <w:t xml:space="preserve">, </w:t>
      </w:r>
      <w:r w:rsidR="00491A97">
        <w:rPr>
          <w:rFonts w:ascii="Arial" w:hAnsi="Arial" w:cs="Arial"/>
        </w:rPr>
        <w:t xml:space="preserve">the Driver shall </w:t>
      </w:r>
      <w:r w:rsidR="00402380">
        <w:rPr>
          <w:rFonts w:ascii="Arial" w:hAnsi="Arial" w:cs="Arial"/>
        </w:rPr>
        <w:t xml:space="preserve">update the daily manifest to show </w:t>
      </w:r>
      <w:r>
        <w:rPr>
          <w:rFonts w:ascii="Arial" w:hAnsi="Arial" w:cs="Arial"/>
        </w:rPr>
        <w:t>the vehicle mileage, number of gallons purchased, and the total cost of the fuel</w:t>
      </w:r>
      <w:r w:rsidR="00402380">
        <w:rPr>
          <w:rFonts w:ascii="Arial" w:hAnsi="Arial" w:cs="Arial"/>
        </w:rPr>
        <w:t>. The Driver shall also a</w:t>
      </w:r>
      <w:r w:rsidR="00491A97">
        <w:rPr>
          <w:rFonts w:ascii="Arial" w:hAnsi="Arial" w:cs="Arial"/>
        </w:rPr>
        <w:t xml:space="preserve">ttach </w:t>
      </w:r>
      <w:r w:rsidR="00402380">
        <w:rPr>
          <w:rFonts w:ascii="Arial" w:hAnsi="Arial" w:cs="Arial"/>
        </w:rPr>
        <w:t xml:space="preserve">the </w:t>
      </w:r>
      <w:r w:rsidR="00491A97">
        <w:rPr>
          <w:rFonts w:ascii="Arial" w:hAnsi="Arial" w:cs="Arial"/>
        </w:rPr>
        <w:t>receipt</w:t>
      </w:r>
      <w:r w:rsidR="00402380">
        <w:rPr>
          <w:rFonts w:ascii="Arial" w:hAnsi="Arial" w:cs="Arial"/>
        </w:rPr>
        <w:t xml:space="preserve"> to</w:t>
      </w:r>
      <w:r w:rsidR="00FA6BAB">
        <w:rPr>
          <w:rFonts w:ascii="Arial" w:hAnsi="Arial" w:cs="Arial"/>
        </w:rPr>
        <w:t xml:space="preserve"> the manifest</w:t>
      </w:r>
      <w:r w:rsidR="001C14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DCBB6C2" w14:textId="12872193" w:rsidR="00CE13B5" w:rsidRDefault="005926D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end of each shift</w:t>
      </w:r>
      <w:r w:rsidR="00D72A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D72AB0">
        <w:rPr>
          <w:rFonts w:ascii="Arial" w:hAnsi="Arial" w:cs="Arial"/>
        </w:rPr>
        <w:t xml:space="preserve">Driver </w:t>
      </w:r>
      <w:r w:rsidR="00491A97">
        <w:rPr>
          <w:rFonts w:ascii="Arial" w:hAnsi="Arial" w:cs="Arial"/>
        </w:rPr>
        <w:t>shall</w:t>
      </w:r>
      <w:r w:rsidR="00D72AB0">
        <w:rPr>
          <w:rFonts w:ascii="Arial" w:hAnsi="Arial" w:cs="Arial"/>
        </w:rPr>
        <w:t xml:space="preserve"> refuel the vehicle if </w:t>
      </w:r>
      <w:r>
        <w:rPr>
          <w:rFonts w:ascii="Arial" w:hAnsi="Arial" w:cs="Arial"/>
        </w:rPr>
        <w:t>it has less than ¾ of a tank of fuel</w:t>
      </w:r>
      <w:r w:rsidR="00D72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</w:t>
      </w:r>
      <w:r w:rsidR="00D72AB0">
        <w:rPr>
          <w:rFonts w:ascii="Arial" w:hAnsi="Arial" w:cs="Arial"/>
        </w:rPr>
        <w:t xml:space="preserve"> return</w:t>
      </w:r>
      <w:r>
        <w:rPr>
          <w:rFonts w:ascii="Arial" w:hAnsi="Arial" w:cs="Arial"/>
        </w:rPr>
        <w:t>ing</w:t>
      </w:r>
      <w:r w:rsidR="00D72AB0">
        <w:rPr>
          <w:rFonts w:ascii="Arial" w:hAnsi="Arial" w:cs="Arial"/>
        </w:rPr>
        <w:t xml:space="preserve"> </w:t>
      </w:r>
      <w:r w:rsidR="00491A97">
        <w:rPr>
          <w:rFonts w:ascii="Arial" w:hAnsi="Arial" w:cs="Arial"/>
        </w:rPr>
        <w:t xml:space="preserve">it </w:t>
      </w:r>
      <w:r w:rsidR="00D72AB0">
        <w:rPr>
          <w:rFonts w:ascii="Arial" w:hAnsi="Arial" w:cs="Arial"/>
        </w:rPr>
        <w:t xml:space="preserve">to the Agency Office. </w:t>
      </w:r>
      <w:r w:rsidR="00491A97">
        <w:rPr>
          <w:rFonts w:ascii="Arial" w:hAnsi="Arial" w:cs="Arial"/>
        </w:rPr>
        <w:t xml:space="preserve">If refueling is needed midday, Drivers shall notify the Dispatcher that </w:t>
      </w:r>
      <w:r>
        <w:rPr>
          <w:rFonts w:ascii="Arial" w:hAnsi="Arial" w:cs="Arial"/>
        </w:rPr>
        <w:t>fuel</w:t>
      </w:r>
      <w:r w:rsidR="00491A97">
        <w:rPr>
          <w:rFonts w:ascii="Arial" w:hAnsi="Arial" w:cs="Arial"/>
        </w:rPr>
        <w:t xml:space="preserve"> is needed</w:t>
      </w:r>
      <w:r>
        <w:rPr>
          <w:rFonts w:ascii="Arial" w:hAnsi="Arial" w:cs="Arial"/>
        </w:rPr>
        <w:t xml:space="preserve"> and request permission to purchase fuel.</w:t>
      </w:r>
    </w:p>
    <w:p w14:paraId="3236F0D7" w14:textId="396133B2" w:rsidR="00491A97" w:rsidRDefault="00491A9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shall calculate the miles per gallon for each vehicle on a monthly basis. A maintenance check should be scheduled for any vehicle with a significant drop in miles per gallon.</w:t>
      </w:r>
    </w:p>
    <w:p w14:paraId="44340CB2" w14:textId="77777777" w:rsidR="00FA6BAB" w:rsidRDefault="00FA6BAB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</w:p>
    <w:p w14:paraId="529A7660" w14:textId="0A74F6FD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3E6466F8" w14:textId="257880B0" w:rsidR="00430F6E" w:rsidRPr="00430F6E" w:rsidRDefault="004654D1" w:rsidP="004654D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are responsible for </w:t>
      </w:r>
      <w:r w:rsidR="00491A97">
        <w:rPr>
          <w:rFonts w:ascii="Arial" w:hAnsi="Arial" w:cs="Arial"/>
        </w:rPr>
        <w:t>fueling Agency vehicles in accordance with this</w:t>
      </w:r>
      <w:r>
        <w:rPr>
          <w:rFonts w:ascii="Arial" w:hAnsi="Arial" w:cs="Arial"/>
        </w:rPr>
        <w:t xml:space="preserve"> policy. </w:t>
      </w:r>
      <w:r w:rsidR="00491A97">
        <w:rPr>
          <w:rFonts w:ascii="Arial" w:hAnsi="Arial" w:cs="Arial"/>
        </w:rPr>
        <w:t>The Transit Director is responsible for calculating the miles per gallon for each vehicle and scheduling maintenance checks if needed.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8527" w14:textId="5D3D5433" w:rsidR="00621B65" w:rsidRDefault="00621B65" w:rsidP="00621B6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M-8</w:t>
    </w:r>
  </w:p>
  <w:p w14:paraId="2A67CCE9" w14:textId="77777777" w:rsidR="00621B65" w:rsidRDefault="00621B65" w:rsidP="00621B6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C554CDF" w14:textId="77777777" w:rsidR="00621B65" w:rsidRDefault="00621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C8B"/>
    <w:multiLevelType w:val="hybridMultilevel"/>
    <w:tmpl w:val="DFC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C148E"/>
    <w:rsid w:val="002E306B"/>
    <w:rsid w:val="00362876"/>
    <w:rsid w:val="00402380"/>
    <w:rsid w:val="00430F6E"/>
    <w:rsid w:val="004654D1"/>
    <w:rsid w:val="00491A97"/>
    <w:rsid w:val="00570FD3"/>
    <w:rsid w:val="00572282"/>
    <w:rsid w:val="005926D9"/>
    <w:rsid w:val="005D6D55"/>
    <w:rsid w:val="00621B65"/>
    <w:rsid w:val="006D4CFB"/>
    <w:rsid w:val="006E7A5E"/>
    <w:rsid w:val="00746C07"/>
    <w:rsid w:val="007F201E"/>
    <w:rsid w:val="00850722"/>
    <w:rsid w:val="008C20A5"/>
    <w:rsid w:val="00A4094D"/>
    <w:rsid w:val="00A83505"/>
    <w:rsid w:val="00AE7F58"/>
    <w:rsid w:val="00C23C95"/>
    <w:rsid w:val="00C62194"/>
    <w:rsid w:val="00C632AB"/>
    <w:rsid w:val="00CE13B5"/>
    <w:rsid w:val="00CE706B"/>
    <w:rsid w:val="00D72AB0"/>
    <w:rsid w:val="00EE4BD6"/>
    <w:rsid w:val="00EF57AD"/>
    <w:rsid w:val="00FA6BAB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C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C9811-5DF3-420B-A9C3-38CB2053A0F0}"/>
</file>

<file path=customXml/itemProps2.xml><?xml version="1.0" encoding="utf-8"?>
<ds:datastoreItem xmlns:ds="http://schemas.openxmlformats.org/officeDocument/2006/customXml" ds:itemID="{0E61F421-C9C4-4D98-9F77-2F75DC27E06C}"/>
</file>

<file path=customXml/itemProps3.xml><?xml version="1.0" encoding="utf-8"?>
<ds:datastoreItem xmlns:ds="http://schemas.openxmlformats.org/officeDocument/2006/customXml" ds:itemID="{05AB60F2-30D2-445E-84D6-7075CE2CE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310</Words>
  <Characters>1772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23</cp:revision>
  <dcterms:created xsi:type="dcterms:W3CDTF">2020-04-02T12:21:00Z</dcterms:created>
  <dcterms:modified xsi:type="dcterms:W3CDTF">2020-12-10T13:48:00Z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